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7A4234BC" w14:textId="7D8BC763" w:rsidR="00F25FDD" w:rsidRDefault="00F25FDD" w:rsidP="00F25FDD">
      <w:pPr>
        <w:pStyle w:val="Heading1"/>
        <w:jc w:val="center"/>
        <w:rPr>
          <w:bCs/>
        </w:rPr>
      </w:pPr>
      <w:bookmarkStart w:id="1" w:name="_Hlk512509838"/>
      <w:r w:rsidRPr="009E55C6">
        <w:t xml:space="preserve">Chapter </w:t>
      </w:r>
      <w:r>
        <w:t>1</w:t>
      </w:r>
      <w:r w:rsidR="0096383F">
        <w:t>3</w:t>
      </w:r>
      <w:r>
        <w:t xml:space="preserve">: </w:t>
      </w:r>
      <w:bookmarkStart w:id="2" w:name="_Hlk517345761"/>
      <w:bookmarkEnd w:id="1"/>
      <w:r w:rsidR="0096383F" w:rsidRPr="00B46366">
        <w:t>Getting Ahead on the Job</w:t>
      </w:r>
      <w:bookmarkEnd w:id="2"/>
    </w:p>
    <w:p w14:paraId="4B201DC7" w14:textId="55690124" w:rsidR="009A0614" w:rsidRDefault="009A0614" w:rsidP="009A0614"/>
    <w:p w14:paraId="7CA0213B" w14:textId="77777777" w:rsidR="00E82427" w:rsidRPr="00391928" w:rsidRDefault="00E82427" w:rsidP="00E82427">
      <w:pPr>
        <w:rPr>
          <w:rStyle w:val="IntenseEmphasis"/>
        </w:rPr>
      </w:pPr>
      <w:bookmarkStart w:id="3"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3"/>
    <w:p w14:paraId="61B91B83" w14:textId="77777777" w:rsidR="00E82427" w:rsidRDefault="00E82427" w:rsidP="006C2AE8"/>
    <w:p w14:paraId="794DAE5C" w14:textId="77EFBC66" w:rsidR="006C2AE8" w:rsidRPr="00E82427" w:rsidRDefault="006C2AE8" w:rsidP="00E82427">
      <w:pPr>
        <w:spacing w:after="0" w:line="276" w:lineRule="auto"/>
        <w:rPr>
          <w:rFonts w:asciiTheme="majorHAnsi" w:hAnsiTheme="majorHAnsi" w:cstheme="majorHAnsi"/>
        </w:rPr>
      </w:pPr>
      <w:r w:rsidRPr="00E82427">
        <w:rPr>
          <w:rFonts w:asciiTheme="majorHAnsi" w:hAnsiTheme="majorHAnsi" w:cstheme="majorHAnsi"/>
        </w:rPr>
        <w:t>Getting a job is hard work. Keeping that job is work, too. But most workers want even more. They want to advance on their jobs. Often, however, they are confused about what they need to do to get ahead. My friend Shannon has worked at a daycare center for two years. As a teacher’s aide working with young children, Shannon sees no possibility for any type of promotion. The pay rate is low and no benefits are offered. Discouraged by this job situation, Shannon is ready for a change. Many of your students are like my friend Shannon.</w:t>
      </w:r>
    </w:p>
    <w:p w14:paraId="054F5733" w14:textId="77777777" w:rsidR="00E82427" w:rsidRDefault="006C2AE8" w:rsidP="00E82427">
      <w:pPr>
        <w:spacing w:after="0" w:line="276" w:lineRule="auto"/>
        <w:ind w:firstLine="720"/>
        <w:rPr>
          <w:rFonts w:asciiTheme="majorHAnsi" w:hAnsiTheme="majorHAnsi" w:cstheme="majorHAnsi"/>
        </w:rPr>
      </w:pPr>
      <w:r w:rsidRPr="00E82427">
        <w:rPr>
          <w:rFonts w:asciiTheme="majorHAnsi" w:hAnsiTheme="majorHAnsi" w:cstheme="majorHAnsi"/>
        </w:rPr>
        <w:t>Workers expect to be rewarded for their job performances. In the work world, typical rewards are pay increases and job promotions. Often new workers have unrealistic ideas of when and how these rewards should come. Chapter 13 presents information on pay raises and promotions. Its approach is general because company policies vary so much.</w:t>
      </w:r>
    </w:p>
    <w:p w14:paraId="1CDDDEF6" w14:textId="77777777" w:rsidR="00E82427" w:rsidRDefault="006C2AE8" w:rsidP="00E82427">
      <w:pPr>
        <w:spacing w:after="0" w:line="276" w:lineRule="auto"/>
        <w:ind w:firstLine="720"/>
        <w:rPr>
          <w:rFonts w:asciiTheme="majorHAnsi" w:hAnsiTheme="majorHAnsi" w:cstheme="majorHAnsi"/>
        </w:rPr>
      </w:pPr>
      <w:r w:rsidRPr="00E82427">
        <w:rPr>
          <w:rFonts w:asciiTheme="majorHAnsi" w:hAnsiTheme="majorHAnsi" w:cstheme="majorHAnsi"/>
        </w:rPr>
        <w:t>Learning to set realistic career goals early can help new workers progress. If they spend some time thinking about these goals, they can approach their careers in a much more organized way.</w:t>
      </w:r>
    </w:p>
    <w:p w14:paraId="01DD5B36" w14:textId="1E82D97A" w:rsidR="006C2AE8" w:rsidRPr="00E82427" w:rsidRDefault="006C2AE8" w:rsidP="00E82427">
      <w:pPr>
        <w:spacing w:after="0" w:line="276" w:lineRule="auto"/>
        <w:ind w:firstLine="720"/>
        <w:rPr>
          <w:rFonts w:asciiTheme="majorHAnsi" w:hAnsiTheme="majorHAnsi" w:cstheme="majorHAnsi"/>
        </w:rPr>
      </w:pPr>
      <w:r w:rsidRPr="00E82427">
        <w:rPr>
          <w:rFonts w:asciiTheme="majorHAnsi" w:hAnsiTheme="majorHAnsi" w:cstheme="majorHAnsi"/>
        </w:rPr>
        <w:t>Few people remain in the same job for an entire career. Knowing how and why to leave a job is important not only to young people but to experienced workers as well. The final section of chapter 13 discusses reasons for leaving a job and how to tell the company you are quitting.</w:t>
      </w:r>
    </w:p>
    <w:p w14:paraId="71544661" w14:textId="77777777" w:rsidR="00E82427" w:rsidRDefault="00E82427" w:rsidP="00F25FDD">
      <w:pPr>
        <w:rPr>
          <w:rFonts w:asciiTheme="majorHAnsi" w:eastAsiaTheme="majorEastAsia" w:hAnsiTheme="majorHAnsi" w:cstheme="majorBidi"/>
          <w:color w:val="2F5496" w:themeColor="accent1" w:themeShade="BF"/>
          <w:sz w:val="26"/>
          <w:szCs w:val="26"/>
        </w:rPr>
      </w:pPr>
    </w:p>
    <w:p w14:paraId="7C40FF49" w14:textId="06BF3B58" w:rsidR="00D31F55" w:rsidRDefault="00D31F55" w:rsidP="00E82427">
      <w:pPr>
        <w:pStyle w:val="Heading2"/>
      </w:pPr>
      <w:r>
        <w:t>Review</w:t>
      </w:r>
      <w:r w:rsidRPr="00D31F55">
        <w:t xml:space="preserve"> Activity: </w:t>
      </w:r>
      <w:r w:rsidR="0096383F">
        <w:t>Role-Play</w:t>
      </w:r>
    </w:p>
    <w:p w14:paraId="4A48346C" w14:textId="1C02885A" w:rsidR="0096383F" w:rsidRPr="00E82427" w:rsidRDefault="0096383F" w:rsidP="00E82427">
      <w:pPr>
        <w:spacing w:after="0" w:line="276" w:lineRule="auto"/>
        <w:rPr>
          <w:rFonts w:asciiTheme="majorHAnsi" w:hAnsiTheme="majorHAnsi" w:cstheme="majorHAnsi"/>
        </w:rPr>
      </w:pPr>
      <w:r w:rsidRPr="00E82427">
        <w:rPr>
          <w:rFonts w:asciiTheme="majorHAnsi" w:hAnsiTheme="majorHAnsi" w:cstheme="majorHAnsi"/>
        </w:rPr>
        <w:t xml:space="preserve">Divide the class </w:t>
      </w:r>
      <w:r w:rsidR="006C2AE8" w:rsidRPr="00E82427">
        <w:rPr>
          <w:rFonts w:asciiTheme="majorHAnsi" w:hAnsiTheme="majorHAnsi" w:cstheme="majorHAnsi"/>
        </w:rPr>
        <w:t xml:space="preserve">into four </w:t>
      </w:r>
      <w:r w:rsidRPr="00E82427">
        <w:rPr>
          <w:rFonts w:asciiTheme="majorHAnsi" w:hAnsiTheme="majorHAnsi" w:cstheme="majorHAnsi"/>
        </w:rPr>
        <w:t>groups, and</w:t>
      </w:r>
      <w:r w:rsidR="00E82427">
        <w:rPr>
          <w:rFonts w:asciiTheme="majorHAnsi" w:hAnsiTheme="majorHAnsi" w:cstheme="majorHAnsi"/>
        </w:rPr>
        <w:t xml:space="preserve"> then</w:t>
      </w:r>
      <w:r w:rsidRPr="00E82427">
        <w:rPr>
          <w:rFonts w:asciiTheme="majorHAnsi" w:hAnsiTheme="majorHAnsi" w:cstheme="majorHAnsi"/>
        </w:rPr>
        <w:t xml:space="preserve"> assign one of the case studies from pages </w:t>
      </w:r>
      <w:r w:rsidR="006C2AE8" w:rsidRPr="00E82427">
        <w:rPr>
          <w:rFonts w:asciiTheme="majorHAnsi" w:hAnsiTheme="majorHAnsi" w:cstheme="majorHAnsi"/>
        </w:rPr>
        <w:t>201</w:t>
      </w:r>
      <w:r w:rsidR="002C27EB" w:rsidRPr="005470A9">
        <w:rPr>
          <w:rFonts w:asciiTheme="majorHAnsi" w:hAnsiTheme="majorHAnsi" w:cstheme="majorHAnsi"/>
        </w:rPr>
        <w:t>–</w:t>
      </w:r>
      <w:r w:rsidR="006C2AE8" w:rsidRPr="00E82427">
        <w:rPr>
          <w:rFonts w:asciiTheme="majorHAnsi" w:hAnsiTheme="majorHAnsi" w:cstheme="majorHAnsi"/>
        </w:rPr>
        <w:t>202</w:t>
      </w:r>
      <w:r w:rsidRPr="00E82427">
        <w:rPr>
          <w:rFonts w:asciiTheme="majorHAnsi" w:hAnsiTheme="majorHAnsi" w:cstheme="majorHAnsi"/>
        </w:rPr>
        <w:t xml:space="preserve"> to each</w:t>
      </w:r>
      <w:r w:rsidR="002C27EB">
        <w:rPr>
          <w:rFonts w:asciiTheme="majorHAnsi" w:hAnsiTheme="majorHAnsi" w:cstheme="majorHAnsi"/>
        </w:rPr>
        <w:t xml:space="preserve"> group</w:t>
      </w:r>
      <w:r w:rsidRPr="00E82427">
        <w:rPr>
          <w:rFonts w:asciiTheme="majorHAnsi" w:hAnsiTheme="majorHAnsi" w:cstheme="majorHAnsi"/>
        </w:rPr>
        <w:t>. Each group should role</w:t>
      </w:r>
      <w:r w:rsidR="002C27EB">
        <w:rPr>
          <w:rFonts w:asciiTheme="majorHAnsi" w:hAnsiTheme="majorHAnsi" w:cstheme="majorHAnsi"/>
        </w:rPr>
        <w:t xml:space="preserve"> </w:t>
      </w:r>
      <w:r w:rsidRPr="00E82427">
        <w:rPr>
          <w:rFonts w:asciiTheme="majorHAnsi" w:hAnsiTheme="majorHAnsi" w:cstheme="majorHAnsi"/>
        </w:rPr>
        <w:t xml:space="preserve">play the </w:t>
      </w:r>
      <w:r w:rsidR="002C27EB">
        <w:rPr>
          <w:rFonts w:asciiTheme="majorHAnsi" w:hAnsiTheme="majorHAnsi" w:cstheme="majorHAnsi"/>
        </w:rPr>
        <w:t xml:space="preserve">employee </w:t>
      </w:r>
      <w:r w:rsidRPr="00E82427">
        <w:rPr>
          <w:rFonts w:asciiTheme="majorHAnsi" w:hAnsiTheme="majorHAnsi" w:cstheme="majorHAnsi"/>
        </w:rPr>
        <w:t>and the supervisor in the case study.</w:t>
      </w:r>
      <w:r w:rsidR="002C27EB">
        <w:rPr>
          <w:rFonts w:asciiTheme="majorHAnsi" w:hAnsiTheme="majorHAnsi" w:cstheme="majorHAnsi"/>
        </w:rPr>
        <w:t xml:space="preserve"> They will first write out the scene.</w:t>
      </w:r>
      <w:r w:rsidRPr="00E82427">
        <w:rPr>
          <w:rFonts w:asciiTheme="majorHAnsi" w:hAnsiTheme="majorHAnsi" w:cstheme="majorHAnsi"/>
        </w:rPr>
        <w:t xml:space="preserve"> In each case, the person should ask for a pay raise and give the reasons for the raise. </w:t>
      </w:r>
      <w:r w:rsidR="006C2AE8" w:rsidRPr="00E82427">
        <w:rPr>
          <w:rFonts w:asciiTheme="majorHAnsi" w:hAnsiTheme="majorHAnsi" w:cstheme="majorHAnsi"/>
        </w:rPr>
        <w:t>During class time m</w:t>
      </w:r>
      <w:r w:rsidRPr="00E82427">
        <w:rPr>
          <w:rFonts w:asciiTheme="majorHAnsi" w:hAnsiTheme="majorHAnsi" w:cstheme="majorHAnsi"/>
        </w:rPr>
        <w:t xml:space="preserve">embers of each </w:t>
      </w:r>
      <w:r w:rsidR="006C2AE8" w:rsidRPr="00E82427">
        <w:rPr>
          <w:rFonts w:asciiTheme="majorHAnsi" w:hAnsiTheme="majorHAnsi" w:cstheme="majorHAnsi"/>
        </w:rPr>
        <w:t>group will</w:t>
      </w:r>
      <w:r w:rsidRPr="00E82427">
        <w:rPr>
          <w:rFonts w:asciiTheme="majorHAnsi" w:hAnsiTheme="majorHAnsi" w:cstheme="majorHAnsi"/>
        </w:rPr>
        <w:t xml:space="preserve"> present the group’s role-play</w:t>
      </w:r>
      <w:r w:rsidR="002C27EB">
        <w:rPr>
          <w:rFonts w:asciiTheme="majorHAnsi" w:hAnsiTheme="majorHAnsi" w:cstheme="majorHAnsi"/>
        </w:rPr>
        <w:t xml:space="preserve"> scene</w:t>
      </w:r>
      <w:r w:rsidRPr="00E82427">
        <w:rPr>
          <w:rFonts w:asciiTheme="majorHAnsi" w:hAnsiTheme="majorHAnsi" w:cstheme="majorHAnsi"/>
        </w:rPr>
        <w:t xml:space="preserve"> to the entire class.</w:t>
      </w:r>
    </w:p>
    <w:p w14:paraId="78E21A4C" w14:textId="77777777" w:rsidR="00E82427" w:rsidRDefault="00E82427" w:rsidP="0096383F">
      <w:pPr>
        <w:pStyle w:val="Heading3"/>
      </w:pPr>
    </w:p>
    <w:p w14:paraId="5E78D743" w14:textId="29929EC8" w:rsidR="0096383F" w:rsidRDefault="0096383F" w:rsidP="00E82427">
      <w:pPr>
        <w:pStyle w:val="Heading2"/>
      </w:pPr>
      <w:r>
        <w:t xml:space="preserve">Review Activity: </w:t>
      </w:r>
      <w:r w:rsidRPr="00B46366">
        <w:t>Career Exploration Inventory</w:t>
      </w:r>
    </w:p>
    <w:p w14:paraId="664775A3" w14:textId="2F4DC870" w:rsidR="0096383F" w:rsidRDefault="0096383F" w:rsidP="00E82427">
      <w:pPr>
        <w:spacing w:after="0" w:line="276" w:lineRule="auto"/>
        <w:rPr>
          <w:rFonts w:asciiTheme="majorHAnsi" w:hAnsiTheme="majorHAnsi" w:cstheme="majorHAnsi"/>
        </w:rPr>
      </w:pPr>
      <w:r w:rsidRPr="00E82427">
        <w:rPr>
          <w:rFonts w:asciiTheme="majorHAnsi" w:hAnsiTheme="majorHAnsi" w:cstheme="majorHAnsi"/>
        </w:rPr>
        <w:t xml:space="preserve">The </w:t>
      </w:r>
      <w:r w:rsidRPr="00E82427">
        <w:rPr>
          <w:rFonts w:asciiTheme="majorHAnsi" w:hAnsiTheme="majorHAnsi" w:cstheme="majorHAnsi"/>
          <w:i/>
          <w:iCs/>
        </w:rPr>
        <w:t xml:space="preserve">Career Exploration Inventory </w:t>
      </w:r>
      <w:r w:rsidRPr="00E82427">
        <w:rPr>
          <w:rFonts w:asciiTheme="majorHAnsi" w:hAnsiTheme="majorHAnsi" w:cstheme="majorHAnsi"/>
        </w:rPr>
        <w:t>(</w:t>
      </w:r>
      <w:r w:rsidRPr="00E82427">
        <w:rPr>
          <w:rFonts w:asciiTheme="majorHAnsi" w:hAnsiTheme="majorHAnsi" w:cstheme="majorHAnsi"/>
          <w:i/>
          <w:iCs/>
        </w:rPr>
        <w:t>CEI</w:t>
      </w:r>
      <w:r w:rsidRPr="00E82427">
        <w:rPr>
          <w:rFonts w:asciiTheme="majorHAnsi" w:hAnsiTheme="majorHAnsi" w:cstheme="majorHAnsi"/>
        </w:rPr>
        <w:t>)</w:t>
      </w:r>
      <w:r w:rsidRPr="00E82427">
        <w:rPr>
          <w:rFonts w:asciiTheme="majorHAnsi" w:hAnsiTheme="majorHAnsi" w:cstheme="majorHAnsi"/>
          <w:i/>
          <w:iCs/>
        </w:rPr>
        <w:t xml:space="preserve"> </w:t>
      </w:r>
      <w:r w:rsidRPr="00E82427">
        <w:rPr>
          <w:rFonts w:asciiTheme="majorHAnsi" w:hAnsiTheme="majorHAnsi" w:cstheme="majorHAnsi"/>
        </w:rPr>
        <w:t>is a tool designed for exploration of work, leisure activities, and education or learning.</w:t>
      </w:r>
      <w:r w:rsidR="00E82427">
        <w:rPr>
          <w:rFonts w:asciiTheme="majorHAnsi" w:hAnsiTheme="majorHAnsi" w:cstheme="majorHAnsi"/>
        </w:rPr>
        <w:t xml:space="preserve"> </w:t>
      </w:r>
      <w:r w:rsidRPr="00E82427">
        <w:rPr>
          <w:rFonts w:asciiTheme="majorHAnsi" w:hAnsiTheme="majorHAnsi" w:cstheme="majorHAnsi"/>
        </w:rPr>
        <w:t>It is available from JIST Publishing (</w:t>
      </w:r>
      <w:hyperlink r:id="rId7" w:history="1">
        <w:r w:rsidR="00E82427" w:rsidRPr="006362A1">
          <w:rPr>
            <w:rStyle w:val="Hyperlink"/>
            <w:rFonts w:asciiTheme="majorHAnsi" w:hAnsiTheme="majorHAnsi" w:cstheme="majorHAnsi"/>
          </w:rPr>
          <w:t>https://www.jist.com</w:t>
        </w:r>
      </w:hyperlink>
      <w:r w:rsidR="00E82427">
        <w:rPr>
          <w:rFonts w:asciiTheme="majorHAnsi" w:hAnsiTheme="majorHAnsi" w:cstheme="majorHAnsi"/>
        </w:rPr>
        <w:t>)</w:t>
      </w:r>
      <w:r w:rsidRPr="00E82427">
        <w:rPr>
          <w:rFonts w:asciiTheme="majorHAnsi" w:hAnsiTheme="majorHAnsi" w:cstheme="majorHAnsi"/>
        </w:rPr>
        <w:t xml:space="preserve">. You can use this simple, self-scoring device to help your </w:t>
      </w:r>
      <w:r w:rsidR="006C2AE8" w:rsidRPr="00E82427">
        <w:rPr>
          <w:rFonts w:asciiTheme="majorHAnsi" w:hAnsiTheme="majorHAnsi" w:cstheme="majorHAnsi"/>
        </w:rPr>
        <w:t xml:space="preserve">students </w:t>
      </w:r>
      <w:r w:rsidRPr="00E82427">
        <w:rPr>
          <w:rFonts w:asciiTheme="majorHAnsi" w:hAnsiTheme="majorHAnsi" w:cstheme="majorHAnsi"/>
        </w:rPr>
        <w:t xml:space="preserve">identify career areas of interest. </w:t>
      </w:r>
    </w:p>
    <w:p w14:paraId="6496FD7E" w14:textId="77777777" w:rsidR="00E82427" w:rsidRPr="00E82427" w:rsidRDefault="00E82427" w:rsidP="00E82427">
      <w:pPr>
        <w:spacing w:after="0" w:line="276" w:lineRule="auto"/>
        <w:rPr>
          <w:rFonts w:asciiTheme="majorHAnsi" w:hAnsiTheme="majorHAnsi" w:cstheme="majorHAnsi"/>
        </w:rPr>
      </w:pPr>
    </w:p>
    <w:p w14:paraId="3E76E0EE" w14:textId="38307F8F" w:rsidR="0096383F" w:rsidRPr="00B46366" w:rsidRDefault="0096383F" w:rsidP="0096383F">
      <w:pPr>
        <w:pStyle w:val="Heading3"/>
      </w:pPr>
      <w:r w:rsidRPr="00B46366">
        <w:lastRenderedPageBreak/>
        <w:t xml:space="preserve">Additional Activity: </w:t>
      </w:r>
      <w:r w:rsidR="006C2AE8">
        <w:t>Career Development</w:t>
      </w:r>
    </w:p>
    <w:p w14:paraId="540B5A74" w14:textId="77777777" w:rsidR="00E82427" w:rsidRDefault="009A7743" w:rsidP="00E82427">
      <w:pPr>
        <w:spacing w:after="0" w:line="276" w:lineRule="auto"/>
        <w:rPr>
          <w:rFonts w:asciiTheme="majorHAnsi" w:hAnsiTheme="majorHAnsi" w:cstheme="majorHAnsi"/>
        </w:rPr>
      </w:pPr>
      <w:r w:rsidRPr="00E82427">
        <w:rPr>
          <w:rFonts w:asciiTheme="majorHAnsi" w:hAnsiTheme="majorHAnsi" w:cstheme="majorHAnsi"/>
        </w:rPr>
        <w:t xml:space="preserve">Divide the class into groups of three. Each group should choose an entry-level </w:t>
      </w:r>
      <w:r w:rsidR="008B3ED7" w:rsidRPr="00E82427">
        <w:rPr>
          <w:rFonts w:asciiTheme="majorHAnsi" w:hAnsiTheme="majorHAnsi" w:cstheme="majorHAnsi"/>
        </w:rPr>
        <w:t xml:space="preserve">job </w:t>
      </w:r>
      <w:r w:rsidRPr="00E82427">
        <w:rPr>
          <w:rFonts w:asciiTheme="majorHAnsi" w:hAnsiTheme="majorHAnsi" w:cstheme="majorHAnsi"/>
        </w:rPr>
        <w:t>and write an explanation answering this question</w:t>
      </w:r>
      <w:r w:rsidR="00E82427">
        <w:rPr>
          <w:rFonts w:asciiTheme="majorHAnsi" w:hAnsiTheme="majorHAnsi" w:cstheme="majorHAnsi"/>
        </w:rPr>
        <w:t>:</w:t>
      </w:r>
      <w:r w:rsidRPr="00E82427">
        <w:rPr>
          <w:rFonts w:asciiTheme="majorHAnsi" w:hAnsiTheme="majorHAnsi" w:cstheme="majorHAnsi"/>
        </w:rPr>
        <w:t xml:space="preserve"> </w:t>
      </w:r>
    </w:p>
    <w:p w14:paraId="79B280AB" w14:textId="77777777" w:rsidR="00E82427" w:rsidRPr="00E82427" w:rsidRDefault="009A7743" w:rsidP="00E82427">
      <w:pPr>
        <w:pStyle w:val="ListParagraph"/>
        <w:numPr>
          <w:ilvl w:val="0"/>
          <w:numId w:val="8"/>
        </w:numPr>
        <w:spacing w:after="0" w:line="276" w:lineRule="auto"/>
        <w:rPr>
          <w:rFonts w:asciiTheme="majorHAnsi" w:hAnsiTheme="majorHAnsi" w:cstheme="majorHAnsi"/>
        </w:rPr>
      </w:pPr>
      <w:r w:rsidRPr="00E82427">
        <w:rPr>
          <w:rFonts w:asciiTheme="majorHAnsi" w:hAnsiTheme="majorHAnsi" w:cstheme="majorHAnsi"/>
        </w:rPr>
        <w:t xml:space="preserve">What is the best way to advance in this job? </w:t>
      </w:r>
    </w:p>
    <w:p w14:paraId="064EE6F2" w14:textId="77777777" w:rsidR="00E82427" w:rsidRDefault="00E82427" w:rsidP="00E82427">
      <w:pPr>
        <w:spacing w:after="0" w:line="276" w:lineRule="auto"/>
        <w:rPr>
          <w:rFonts w:asciiTheme="majorHAnsi" w:hAnsiTheme="majorHAnsi" w:cstheme="majorHAnsi"/>
        </w:rPr>
      </w:pPr>
    </w:p>
    <w:p w14:paraId="516171F6" w14:textId="1B8539C6" w:rsidR="00E82427" w:rsidRPr="00E82427" w:rsidRDefault="009A7743" w:rsidP="00E82427">
      <w:pPr>
        <w:spacing w:after="0" w:line="276" w:lineRule="auto"/>
        <w:rPr>
          <w:rFonts w:asciiTheme="majorHAnsi" w:hAnsiTheme="majorHAnsi" w:cstheme="majorHAnsi"/>
        </w:rPr>
      </w:pPr>
      <w:r w:rsidRPr="00E82427">
        <w:rPr>
          <w:rFonts w:asciiTheme="majorHAnsi" w:hAnsiTheme="majorHAnsi" w:cstheme="majorHAnsi"/>
        </w:rPr>
        <w:t xml:space="preserve">The questions under </w:t>
      </w:r>
      <w:r w:rsidR="00E82427">
        <w:rPr>
          <w:rFonts w:asciiTheme="majorHAnsi" w:hAnsiTheme="majorHAnsi" w:cstheme="majorHAnsi"/>
        </w:rPr>
        <w:t>“</w:t>
      </w:r>
      <w:r w:rsidRPr="00E82427">
        <w:rPr>
          <w:rFonts w:asciiTheme="majorHAnsi" w:hAnsiTheme="majorHAnsi" w:cstheme="majorHAnsi"/>
        </w:rPr>
        <w:t xml:space="preserve">Develop a </w:t>
      </w:r>
      <w:r w:rsidR="00E82427">
        <w:rPr>
          <w:rFonts w:asciiTheme="majorHAnsi" w:hAnsiTheme="majorHAnsi" w:cstheme="majorHAnsi"/>
        </w:rPr>
        <w:t>C</w:t>
      </w:r>
      <w:r w:rsidRPr="00E82427">
        <w:rPr>
          <w:rFonts w:asciiTheme="majorHAnsi" w:hAnsiTheme="majorHAnsi" w:cstheme="majorHAnsi"/>
        </w:rPr>
        <w:t xml:space="preserve">areer </w:t>
      </w:r>
      <w:r w:rsidR="00E82427">
        <w:rPr>
          <w:rFonts w:asciiTheme="majorHAnsi" w:hAnsiTheme="majorHAnsi" w:cstheme="majorHAnsi"/>
        </w:rPr>
        <w:t>P</w:t>
      </w:r>
      <w:r w:rsidRPr="00E82427">
        <w:rPr>
          <w:rFonts w:asciiTheme="majorHAnsi" w:hAnsiTheme="majorHAnsi" w:cstheme="majorHAnsi"/>
        </w:rPr>
        <w:t>ath</w:t>
      </w:r>
      <w:r w:rsidR="00E82427">
        <w:rPr>
          <w:rFonts w:asciiTheme="majorHAnsi" w:hAnsiTheme="majorHAnsi" w:cstheme="majorHAnsi"/>
        </w:rPr>
        <w:t>”</w:t>
      </w:r>
      <w:r w:rsidRPr="00E82427">
        <w:rPr>
          <w:rFonts w:asciiTheme="majorHAnsi" w:hAnsiTheme="majorHAnsi" w:cstheme="majorHAnsi"/>
        </w:rPr>
        <w:t xml:space="preserve"> on page 208 will be helpful. Other sources of information are the federal government website O*NET OnLine at </w:t>
      </w:r>
      <w:hyperlink r:id="rId8" w:history="1">
        <w:r w:rsidR="00E82427" w:rsidRPr="006362A1">
          <w:rPr>
            <w:rStyle w:val="Hyperlink"/>
            <w:rFonts w:asciiTheme="majorHAnsi" w:hAnsiTheme="majorHAnsi" w:cstheme="majorHAnsi"/>
          </w:rPr>
          <w:t>https://www.onetonline.org</w:t>
        </w:r>
      </w:hyperlink>
      <w:r w:rsidR="00E82427">
        <w:rPr>
          <w:rFonts w:asciiTheme="majorHAnsi" w:hAnsiTheme="majorHAnsi" w:cstheme="majorHAnsi"/>
        </w:rPr>
        <w:t xml:space="preserve"> a</w:t>
      </w:r>
      <w:r w:rsidRPr="00E82427">
        <w:rPr>
          <w:rFonts w:asciiTheme="majorHAnsi" w:hAnsiTheme="majorHAnsi" w:cstheme="majorHAnsi"/>
        </w:rPr>
        <w:t xml:space="preserve">nd the Occupational Outlook Handbook at </w:t>
      </w:r>
      <w:hyperlink r:id="rId9" w:history="1">
        <w:r w:rsidR="00E82427" w:rsidRPr="00E82427">
          <w:rPr>
            <w:rStyle w:val="Hyperlink"/>
            <w:rFonts w:asciiTheme="majorHAnsi" w:hAnsiTheme="majorHAnsi" w:cstheme="majorHAnsi"/>
          </w:rPr>
          <w:t>https://www.bls.gov/ooh/</w:t>
        </w:r>
      </w:hyperlink>
      <w:r w:rsidR="00E82427" w:rsidRPr="00E82427">
        <w:rPr>
          <w:rFonts w:asciiTheme="majorHAnsi" w:hAnsiTheme="majorHAnsi" w:cstheme="majorHAnsi"/>
        </w:rPr>
        <w:t>.</w:t>
      </w:r>
    </w:p>
    <w:sectPr w:rsidR="00E82427" w:rsidRPr="00E82427" w:rsidSect="00496C7A">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34D01" w14:textId="77777777" w:rsidR="002F77EE" w:rsidRDefault="002F77EE" w:rsidP="0010623B">
      <w:pPr>
        <w:spacing w:after="0" w:line="240" w:lineRule="auto"/>
      </w:pPr>
      <w:r>
        <w:separator/>
      </w:r>
    </w:p>
  </w:endnote>
  <w:endnote w:type="continuationSeparator" w:id="0">
    <w:p w14:paraId="184A6472" w14:textId="77777777" w:rsidR="002F77EE" w:rsidRDefault="002F77EE"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BD8CE" w14:textId="77777777" w:rsidR="00E82427" w:rsidRDefault="00E82427" w:rsidP="00E82427">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19346260" w:rsidR="0010623B" w:rsidRPr="00E82427" w:rsidRDefault="00E82427" w:rsidP="00E82427">
    <w:pPr>
      <w:pStyle w:val="Footer"/>
      <w:tabs>
        <w:tab w:val="left" w:pos="5385"/>
      </w:tabs>
      <w:rPr>
        <w:rFonts w:asciiTheme="majorHAnsi" w:hAnsiTheme="majorHAnsi" w:cstheme="majorHAnsi"/>
      </w:rPr>
    </w:pPr>
    <w:r>
      <w:rPr>
        <w:rFonts w:asciiTheme="majorHAnsi" w:hAnsiTheme="majorHAnsi" w:cstheme="majorHAnsi"/>
      </w:rPr>
      <w:tab/>
    </w:r>
    <w:sdt>
      <w:sdtPr>
        <w:rPr>
          <w:rFonts w:asciiTheme="majorHAnsi" w:hAnsiTheme="majorHAnsi" w:cstheme="majorHAnsi"/>
        </w:rPr>
        <w:id w:val="-1314558807"/>
        <w:docPartObj>
          <w:docPartGallery w:val="Page Numbers (Bottom of Page)"/>
          <w:docPartUnique/>
        </w:docPartObj>
      </w:sdtPr>
      <w:sdtEndPr>
        <w:rPr>
          <w:noProof/>
        </w:rPr>
      </w:sdtEndPr>
      <w:sdtContent>
        <w:r w:rsidRPr="00E318EE">
          <w:rPr>
            <w:rFonts w:asciiTheme="majorHAnsi" w:hAnsiTheme="majorHAnsi" w:cstheme="majorHAnsi"/>
          </w:rPr>
          <w:fldChar w:fldCharType="begin"/>
        </w:r>
        <w:r w:rsidRPr="00E318EE">
          <w:rPr>
            <w:rFonts w:asciiTheme="majorHAnsi" w:hAnsiTheme="majorHAnsi" w:cstheme="majorHAnsi"/>
          </w:rPr>
          <w:instrText xml:space="preserve"> PAGE   \* MERGEFORMAT </w:instrText>
        </w:r>
        <w:r w:rsidRPr="00E318EE">
          <w:rPr>
            <w:rFonts w:asciiTheme="majorHAnsi" w:hAnsiTheme="majorHAnsi" w:cstheme="majorHAnsi"/>
          </w:rPr>
          <w:fldChar w:fldCharType="separate"/>
        </w:r>
        <w:r>
          <w:rPr>
            <w:rFonts w:asciiTheme="majorHAnsi" w:hAnsiTheme="majorHAnsi" w:cstheme="majorHAnsi"/>
          </w:rPr>
          <w:t>2</w:t>
        </w:r>
        <w:r w:rsidRPr="00E318EE">
          <w:rPr>
            <w:rFonts w:asciiTheme="majorHAnsi" w:hAnsiTheme="majorHAnsi" w:cstheme="majorHAnsi"/>
            <w:noProof/>
          </w:rPr>
          <w:fldChar w:fldCharType="end"/>
        </w:r>
      </w:sdtContent>
    </w:sdt>
    <w:r>
      <w:rPr>
        <w:rFonts w:asciiTheme="majorHAnsi" w:hAnsiTheme="majorHAnsi" w:cstheme="majorHAnsi"/>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FC932" w14:textId="77777777" w:rsidR="00E82427" w:rsidRPr="00F363BF" w:rsidRDefault="00E82427" w:rsidP="00E82427">
    <w:pPr>
      <w:pStyle w:val="Footer"/>
      <w:jc w:val="center"/>
    </w:pPr>
    <w:bookmarkStart w:id="4" w:name="_Hlk524437963"/>
    <w:bookmarkStart w:id="5" w:name="_Hlk524437964"/>
    <w:bookmarkStart w:id="6" w:name="_Hlk524438971"/>
    <w:bookmarkStart w:id="7" w:name="_Hlk524438972"/>
    <w:bookmarkStart w:id="8" w:name="_Hlk524439112"/>
    <w:bookmarkStart w:id="9" w:name="_Hlk524439113"/>
    <w:r>
      <w:rPr>
        <w:i/>
      </w:rPr>
      <w:t>Job Savvy</w:t>
    </w:r>
    <w:r w:rsidRPr="009D4876">
      <w:rPr>
        <w:i/>
      </w:rPr>
      <w:t xml:space="preserve">, </w:t>
    </w:r>
    <w:r>
      <w:rPr>
        <w:i/>
      </w:rPr>
      <w:t>Sixth Edition</w:t>
    </w:r>
    <w:r>
      <w:t>, Instructor Guide</w:t>
    </w:r>
  </w:p>
  <w:p w14:paraId="692823EF" w14:textId="76202C36" w:rsidR="00496C7A" w:rsidRPr="00E82427" w:rsidRDefault="00E82427" w:rsidP="00E82427">
    <w:pPr>
      <w:pStyle w:val="Footer"/>
      <w:jc w:val="center"/>
    </w:pPr>
    <w:r>
      <w:t>© JIST Publishing, Inc.</w:t>
    </w:r>
    <w:bookmarkEnd w:id="4"/>
    <w:bookmarkEnd w:id="5"/>
    <w:bookmarkEnd w:id="6"/>
    <w:bookmarkEnd w:id="7"/>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31B9D" w14:textId="77777777" w:rsidR="002F77EE" w:rsidRDefault="002F77EE" w:rsidP="0010623B">
      <w:pPr>
        <w:spacing w:after="0" w:line="240" w:lineRule="auto"/>
      </w:pPr>
      <w:r>
        <w:separator/>
      </w:r>
    </w:p>
  </w:footnote>
  <w:footnote w:type="continuationSeparator" w:id="0">
    <w:p w14:paraId="07C134C2" w14:textId="77777777" w:rsidR="002F77EE" w:rsidRDefault="002F77EE"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E0D44"/>
    <w:multiLevelType w:val="hybridMultilevel"/>
    <w:tmpl w:val="465A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A624EF"/>
    <w:multiLevelType w:val="hybridMultilevel"/>
    <w:tmpl w:val="2F0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1"/>
  </w:num>
  <w:num w:numId="5">
    <w:abstractNumId w:val="5"/>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16C1E"/>
    <w:rsid w:val="00030B0C"/>
    <w:rsid w:val="000D2C34"/>
    <w:rsid w:val="0010623B"/>
    <w:rsid w:val="0012444C"/>
    <w:rsid w:val="001A5756"/>
    <w:rsid w:val="001E0252"/>
    <w:rsid w:val="002812AF"/>
    <w:rsid w:val="002B2E7D"/>
    <w:rsid w:val="002C27EB"/>
    <w:rsid w:val="002F77EE"/>
    <w:rsid w:val="0035720E"/>
    <w:rsid w:val="00456E21"/>
    <w:rsid w:val="004604B0"/>
    <w:rsid w:val="00496C7A"/>
    <w:rsid w:val="004C1792"/>
    <w:rsid w:val="004F5AE2"/>
    <w:rsid w:val="00533F20"/>
    <w:rsid w:val="005816E7"/>
    <w:rsid w:val="005C026F"/>
    <w:rsid w:val="006C2AE8"/>
    <w:rsid w:val="00793E39"/>
    <w:rsid w:val="007D4F76"/>
    <w:rsid w:val="008040D6"/>
    <w:rsid w:val="00807EA2"/>
    <w:rsid w:val="00813FDE"/>
    <w:rsid w:val="008B3ED7"/>
    <w:rsid w:val="0096383F"/>
    <w:rsid w:val="00964824"/>
    <w:rsid w:val="009A0614"/>
    <w:rsid w:val="009A7743"/>
    <w:rsid w:val="009B239F"/>
    <w:rsid w:val="009F6CCE"/>
    <w:rsid w:val="00A45C70"/>
    <w:rsid w:val="00AA40B9"/>
    <w:rsid w:val="00B00B91"/>
    <w:rsid w:val="00B86528"/>
    <w:rsid w:val="00BB6FE7"/>
    <w:rsid w:val="00BE23B0"/>
    <w:rsid w:val="00C06A93"/>
    <w:rsid w:val="00CB0BB0"/>
    <w:rsid w:val="00CF098B"/>
    <w:rsid w:val="00D24443"/>
    <w:rsid w:val="00D31F55"/>
    <w:rsid w:val="00D60660"/>
    <w:rsid w:val="00E81A6A"/>
    <w:rsid w:val="00E82427"/>
    <w:rsid w:val="00F25FDD"/>
    <w:rsid w:val="00F606D5"/>
    <w:rsid w:val="00F63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F6CC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F6CCE"/>
    <w:rPr>
      <w:sz w:val="16"/>
      <w:szCs w:val="16"/>
    </w:rPr>
  </w:style>
  <w:style w:type="paragraph" w:styleId="CommentText">
    <w:name w:val="annotation text"/>
    <w:basedOn w:val="Normal"/>
    <w:link w:val="CommentTextChar"/>
    <w:uiPriority w:val="99"/>
    <w:unhideWhenUsed/>
    <w:rsid w:val="009F6CC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9F6CCE"/>
    <w:rPr>
      <w:rFonts w:ascii="Times New Roman" w:hAnsi="Times New Roman"/>
      <w:sz w:val="20"/>
      <w:szCs w:val="20"/>
    </w:rPr>
  </w:style>
  <w:style w:type="paragraph" w:styleId="BalloonText">
    <w:name w:val="Balloon Text"/>
    <w:basedOn w:val="Normal"/>
    <w:link w:val="BalloonTextChar"/>
    <w:uiPriority w:val="99"/>
    <w:semiHidden/>
    <w:unhideWhenUsed/>
    <w:rsid w:val="009F6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CCE"/>
    <w:rPr>
      <w:rFonts w:ascii="Segoe UI" w:hAnsi="Segoe UI" w:cs="Segoe UI"/>
      <w:sz w:val="18"/>
      <w:szCs w:val="18"/>
    </w:rPr>
  </w:style>
  <w:style w:type="character" w:customStyle="1" w:styleId="Heading5Char">
    <w:name w:val="Heading 5 Char"/>
    <w:basedOn w:val="DefaultParagraphFont"/>
    <w:link w:val="Heading5"/>
    <w:uiPriority w:val="9"/>
    <w:semiHidden/>
    <w:rsid w:val="009F6CCE"/>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35720E"/>
    <w:rPr>
      <w:color w:val="0563C1" w:themeColor="hyperlink"/>
      <w:u w:val="single"/>
    </w:rPr>
  </w:style>
  <w:style w:type="character" w:styleId="IntenseEmphasis">
    <w:name w:val="Intense Emphasis"/>
    <w:basedOn w:val="DefaultParagraphFont"/>
    <w:uiPriority w:val="21"/>
    <w:qFormat/>
    <w:rsid w:val="00E82427"/>
    <w:rPr>
      <w:i/>
      <w:iCs/>
      <w:color w:val="4472C4" w:themeColor="accent1"/>
    </w:rPr>
  </w:style>
  <w:style w:type="character" w:styleId="UnresolvedMention">
    <w:name w:val="Unresolved Mention"/>
    <w:basedOn w:val="DefaultParagraphFont"/>
    <w:uiPriority w:val="99"/>
    <w:semiHidden/>
    <w:unhideWhenUsed/>
    <w:rsid w:val="00E8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etonline.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jis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ls.gov/oo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2018-09-11T20:05:00Z</dcterms:created>
  <dcterms:modified xsi:type="dcterms:W3CDTF">2018-09-11T20:05:00Z</dcterms:modified>
</cp:coreProperties>
</file>